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2164952</wp:posOffset>
            </wp:positionH>
            <wp:positionV relativeFrom="paragraph">
              <wp:posOffset>-367231</wp:posOffset>
            </wp:positionV>
            <wp:extent cx="1009587" cy="1009587"/>
            <wp:effectExtent b="0" l="0" r="0" t="0"/>
            <wp:wrapSquare wrapText="bothSides" distB="0" distT="0" distL="0" distR="0"/>
            <wp:docPr descr="Related image" id="1" name="image1.png"/>
            <a:graphic>
              <a:graphicData uri="http://schemas.openxmlformats.org/drawingml/2006/picture">
                <pic:pic>
                  <pic:nvPicPr>
                    <pic:cNvPr descr="Related 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587" cy="10095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Libre Baskerville" w:cs="Libre Baskerville" w:eastAsia="Libre Baskerville" w:hAnsi="Libre Baskervill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ibre Baskerville" w:cs="Libre Baskerville" w:eastAsia="Libre Baskerville" w:hAnsi="Libre Baskervill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ibre Baskerville" w:cs="Libre Baskerville" w:eastAsia="Libre Baskerville" w:hAnsi="Libre Baskerville"/>
          <w:sz w:val="28"/>
          <w:szCs w:val="28"/>
          <w:highlight w:val="whit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highlight w:val="white"/>
          <w:rtl w:val="0"/>
        </w:rPr>
        <w:t xml:space="preserve">United Nations Children Fund</w:t>
      </w:r>
    </w:p>
    <w:p w:rsidR="00000000" w:rsidDel="00000000" w:rsidP="00000000" w:rsidRDefault="00000000" w:rsidRPr="00000000" w14:paraId="00000006">
      <w:pPr>
        <w:jc w:val="both"/>
        <w:rPr>
          <w:rFonts w:ascii="Libre Baskerville" w:cs="Libre Baskerville" w:eastAsia="Libre Baskerville" w:hAnsi="Libre Baskervill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Issue: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Implementing rights for equality of education for all children and preventing child labour occurrence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Submitted by: </w:t>
      </w:r>
      <w:r w:rsidDel="00000000" w:rsidR="00000000" w:rsidRPr="00000000">
        <w:rPr>
          <w:sz w:val="22"/>
          <w:szCs w:val="22"/>
          <w:rtl w:val="0"/>
        </w:rPr>
        <w:t xml:space="preserve">The Bolivarian Republic of Venezuela </w:t>
      </w:r>
    </w:p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Co-submitters: </w:t>
      </w:r>
      <w:r w:rsidDel="00000000" w:rsidR="00000000" w:rsidRPr="00000000">
        <w:rPr>
          <w:sz w:val="22"/>
          <w:szCs w:val="22"/>
          <w:rtl w:val="0"/>
        </w:rPr>
        <w:t xml:space="preserve">The Kingdom of Saudi Arabia, The Kingdom of Norway,  The Republic of Turkey, The Federative Republic of Brazil, People’s Republic of Bangladesh, The Republic of Yemen</w:t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Signatories:</w:t>
      </w:r>
      <w:r w:rsidDel="00000000" w:rsidR="00000000" w:rsidRPr="00000000">
        <w:rPr>
          <w:sz w:val="22"/>
          <w:szCs w:val="22"/>
          <w:rtl w:val="0"/>
        </w:rPr>
        <w:t xml:space="preserve"> Federal Republic of Somalia, , Ukraine,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ibre Baskerville" w:cs="Libre Baskerville" w:eastAsia="Libre Baskerville" w:hAnsi="Libre Baskerville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2"/>
          <w:szCs w:val="22"/>
          <w:highlight w:val="white"/>
          <w:rtl w:val="0"/>
        </w:rPr>
        <w:t xml:space="preserve">The United Nations Children Found</w:t>
      </w:r>
    </w:p>
    <w:p w:rsidR="00000000" w:rsidDel="00000000" w:rsidP="00000000" w:rsidRDefault="00000000" w:rsidRPr="00000000" w14:paraId="00000010">
      <w:pPr>
        <w:jc w:val="both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        </w:t>
      </w:r>
      <w:r w:rsidDel="00000000" w:rsidR="00000000" w:rsidRPr="00000000">
        <w:rPr>
          <w:i w:val="1"/>
          <w:sz w:val="22"/>
          <w:szCs w:val="22"/>
          <w:highlight w:val="white"/>
          <w:u w:val="single"/>
          <w:rtl w:val="0"/>
        </w:rPr>
        <w:t xml:space="preserve">Defining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equality of education as the subject of substantial disagreement such as, but not limited to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 </w:t>
      </w:r>
      <w:r w:rsidDel="00000000" w:rsidR="00000000" w:rsidRPr="00000000">
        <w:rPr>
          <w:sz w:val="22"/>
          <w:szCs w:val="22"/>
          <w:rtl w:val="0"/>
        </w:rPr>
        <w:t xml:space="preserve">differences in educational outcomes,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2"/>
          <w:szCs w:val="22"/>
          <w:highlight w:val="white"/>
          <w:u w:val="single"/>
          <w:rtl w:val="0"/>
        </w:rPr>
        <w:t xml:space="preserve">Recognizing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the issue of child labour and the inequality of education along with the negative impact on the children’s health and/or development,</w:t>
      </w:r>
    </w:p>
    <w:p w:rsidR="00000000" w:rsidDel="00000000" w:rsidP="00000000" w:rsidRDefault="00000000" w:rsidRPr="00000000" w14:paraId="00000014">
      <w:pPr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2"/>
          <w:szCs w:val="22"/>
          <w:highlight w:val="white"/>
          <w:u w:val="single"/>
          <w:rtl w:val="0"/>
        </w:rPr>
        <w:t xml:space="preserve">Underlining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that the countries enrolled in developing areas are not entirely capable of combating these issues by their own,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Reaffirming</w:t>
      </w:r>
      <w:r w:rsidDel="00000000" w:rsidR="00000000" w:rsidRPr="00000000">
        <w:rPr>
          <w:sz w:val="22"/>
          <w:szCs w:val="22"/>
          <w:rtl w:val="0"/>
        </w:rPr>
        <w:t xml:space="preserve"> the importance of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The Sustainable Development </w:t>
      </w:r>
      <w:r w:rsidDel="00000000" w:rsidR="00000000" w:rsidRPr="00000000">
        <w:rPr>
          <w:i w:val="1"/>
          <w:sz w:val="22"/>
          <w:szCs w:val="22"/>
          <w:rtl w:val="0"/>
        </w:rPr>
        <w:t xml:space="preserve">Goals</w:t>
      </w:r>
      <w:r w:rsidDel="00000000" w:rsidR="00000000" w:rsidRPr="00000000">
        <w:rPr>
          <w:sz w:val="22"/>
          <w:szCs w:val="22"/>
          <w:rtl w:val="0"/>
        </w:rPr>
        <w:t xml:space="preserve"> as a means to eliminate all forms of child labour and obtaining equality of education,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Expecting</w:t>
      </w:r>
      <w:r w:rsidDel="00000000" w:rsidR="00000000" w:rsidRPr="00000000">
        <w:rPr>
          <w:sz w:val="22"/>
          <w:szCs w:val="22"/>
          <w:rtl w:val="0"/>
        </w:rPr>
        <w:t xml:space="preserve"> all member states to take action and, in cooperation, finding a diplomatic solution for these issues,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Condemning </w:t>
      </w:r>
      <w:r w:rsidDel="00000000" w:rsidR="00000000" w:rsidRPr="00000000">
        <w:rPr>
          <w:sz w:val="22"/>
          <w:szCs w:val="22"/>
          <w:rtl w:val="0"/>
        </w:rPr>
        <w:t xml:space="preserve">all violations against the Children’s Rights, 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Encourages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strengthening of legislative and policy frameworks in order to take action against child labour in economic activity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Promoting ratification of international legal standards concerning child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Establishing national legal architecture on based on the national legal standards concerning child labour;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strengthening systems of monitoring and enforcing child labour laws;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Increasing the minimum age for admission to 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Adjustment of the working hours to the working age;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Promoting the performance of the child’s labour only in after-school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Conducting child labour inspections in formal and informal business sectors;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Extending the national legal architecture to other fundamental labour rights, including: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Freedom of association;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right to collective bargaining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right of not being forced into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Expresses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need of social protection systems, including social protection floors in order to reduce child labour occurrence by supporting following measures: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Introducing or expanding unconditional cash transfer schemes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ease budget constraints and supplement incomes of poor households vulnerable to child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alleviate current income poverty (through cash benefits)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Extending unemployment protection, in order to secure the income needs of households affected by loss of work, or underpayment;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Introducing micro-credit and micro-insurance schemes for vulnerable families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facilitate the access to the financial market;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them to hedge against part of the risks they face such as but not limited to child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income security in old age through pension schemes to help provide income security in multi-generational households;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Promotes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provide decent work opportunities for adults and youth of legal working age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systems for providing youth remove from hazardous work and worst forms of child labour with support services and second chances for,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Legislating active labour market interventions targeting young people, including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and skill development;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work;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search support;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</w:t>
      </w:r>
      <w:r w:rsidDel="00000000" w:rsidR="00000000" w:rsidRPr="00000000">
        <w:rPr>
          <w:sz w:val="22"/>
          <w:szCs w:val="22"/>
          <w:rtl w:val="0"/>
        </w:rPr>
        <w:t xml:space="preserve">subsidies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Entrepreneurship opportunities;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Protecting young people at work by guaranteeing the strict obedience of the young employees’ rights such as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organization;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Reception of equal treatment;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Protection from abuse and exposure to hazards;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raising awareness of child labour in ways such as,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Media,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Television;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Radio channels;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sites;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Creation of workshops;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programmes;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Determination of national hazardous work list;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Urges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member states to provide support (if needed) for victims of child labour,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aid;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aid;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Psychogenic aid;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Condemns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 mass-consumerism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Raising awareness of consume origins such as,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 fashion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Amplifying sensibilisation of citizens concerning the conditions of children in forced employment;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Acknowledges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fact that prevalence of child labour could be eliminated with programmes based on Education for All,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coherence between laws governing the minimum age for work and those dealing with the age range for compulsory schooling;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Integrating information on child labour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within school curricula;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training;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programmes for families vulnerable to child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 “bridge schools” or intensive transitional education programmes to help former working children catch up the years they missed out on by not attending school at the appropriate age;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after-school programmes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Enhance the educational and recreational opportunities for children;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 the time available for work;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Facilitating close collaboration between non-formal education providers and the local school system to help smooth the (re)integration process of children employed in forced labour;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1e1e"/>
          <w:sz w:val="22"/>
          <w:szCs w:val="22"/>
          <w:u w:val="none"/>
          <w:shd w:fill="auto" w:val="clear"/>
          <w:vertAlign w:val="baseline"/>
          <w:rtl w:val="0"/>
        </w:rPr>
        <w:t xml:space="preserve">Mobilizing other organizations around the interrelated issues of the elimination of child labour and the achievement of Education for All;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Promotes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support action programmes and schemes that seek to remove barriers to education for children, by proposing following measures: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Preventing children of dropping out of school due to financial or social reasons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inclusive education strategies;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Guaranteeing quality education;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Establishing programmes that provide non-formal education for high-risk groups or minorities,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Street children;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exploited in prostitution or pornography;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Indigenous children;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Strengthening  national policies and the promotion of compulsory education, with universal access to free and good quality education;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Encourages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need to provide financial protecting systems, including financial aid by supporting following measures: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Introducing or expanding in-kind transfer scheme such as,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for education schemes to help reduce household insecurity;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Providing an additional incentive for attendance;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adequate financing of education to achieve universal education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Lowering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cost, such as school fees;- Canada and Pakistan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Encouraging governments to remove physical barriers to schooling;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Advises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focus on guaranteeing fairness in accessibility of </w:t>
      </w:r>
      <w:r w:rsidDel="00000000" w:rsidR="00000000" w:rsidRPr="00000000">
        <w:rPr>
          <w:sz w:val="22"/>
          <w:szCs w:val="22"/>
          <w:rtl w:val="0"/>
        </w:rPr>
        <w:t xml:space="preserve">education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Eliminating the inequality or ‘’gap’’ among various backgrounds such as,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class;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Leading to the goal ‘’No Child Left Behind’’;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Supports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increasing awareness of the necessity of education and of equality of education in ways such as,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 media;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Programs;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Centres;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firstLine="0"/>
        <w:jc w:val="left"/>
        <w:rPr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13) Encourages </w:t>
      </w:r>
      <w:r w:rsidDel="00000000" w:rsidR="00000000" w:rsidRPr="00000000">
        <w:rPr>
          <w:sz w:val="22"/>
          <w:szCs w:val="22"/>
          <w:rtl w:val="0"/>
        </w:rPr>
        <w:t xml:space="preserve"> governments to provide </w:t>
      </w:r>
      <w:r w:rsidDel="00000000" w:rsidR="00000000" w:rsidRPr="00000000">
        <w:rPr>
          <w:sz w:val="22"/>
          <w:szCs w:val="22"/>
          <w:rtl w:val="0"/>
        </w:rPr>
        <w:t xml:space="preserve">free </w:t>
      </w:r>
      <w:r w:rsidDel="00000000" w:rsidR="00000000" w:rsidRPr="00000000">
        <w:rPr>
          <w:sz w:val="22"/>
          <w:szCs w:val="22"/>
          <w:rtl w:val="0"/>
        </w:rPr>
        <w:t xml:space="preserve">access to education in all of the countries under threat pharaohs’ curse. </w:t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14) Further invites </w:t>
      </w:r>
      <w:r w:rsidDel="00000000" w:rsidR="00000000" w:rsidRPr="00000000">
        <w:rPr>
          <w:sz w:val="22"/>
          <w:szCs w:val="22"/>
          <w:rtl w:val="0"/>
        </w:rPr>
        <w:t xml:space="preserve">all member states to support improvement and implementation of the Sustainable Development Goals provided by the United Nation in the following actions: 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end poverty in all forms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end hunger by using agriculture, forestry and fisheries to provide nutritious food 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ensuring healthy lives and promoting the well-being for all ages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3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494" w:hanging="360"/>
      </w:pPr>
      <w:rPr/>
    </w:lvl>
    <w:lvl w:ilvl="3">
      <w:start w:val="1"/>
      <w:numFmt w:val="decimal"/>
      <w:lvlText w:val="(%4)"/>
      <w:lvlJc w:val="left"/>
      <w:pPr>
        <w:ind w:left="1723" w:hanging="360"/>
      </w:pPr>
      <w:rPr/>
    </w:lvl>
    <w:lvl w:ilvl="4">
      <w:start w:val="1"/>
      <w:numFmt w:val="lowerLetter"/>
      <w:lvlText w:val="(%5)"/>
      <w:lvlJc w:val="left"/>
      <w:pPr>
        <w:ind w:left="2083" w:hanging="360"/>
      </w:pPr>
      <w:rPr/>
    </w:lvl>
    <w:lvl w:ilvl="5">
      <w:start w:val="1"/>
      <w:numFmt w:val="lowerRoman"/>
      <w:lvlText w:val="(%6)"/>
      <w:lvlJc w:val="left"/>
      <w:pPr>
        <w:ind w:left="2443" w:hanging="360"/>
      </w:pPr>
      <w:rPr/>
    </w:lvl>
    <w:lvl w:ilvl="6">
      <w:start w:val="1"/>
      <w:numFmt w:val="decimal"/>
      <w:lvlText w:val="%7."/>
      <w:lvlJc w:val="left"/>
      <w:pPr>
        <w:ind w:left="2803" w:hanging="360"/>
      </w:pPr>
      <w:rPr/>
    </w:lvl>
    <w:lvl w:ilvl="7">
      <w:start w:val="1"/>
      <w:numFmt w:val="lowerLetter"/>
      <w:lvlText w:val="%8."/>
      <w:lvlJc w:val="left"/>
      <w:pPr>
        <w:ind w:left="3163" w:hanging="360"/>
      </w:pPr>
      <w:rPr/>
    </w:lvl>
    <w:lvl w:ilvl="8">
      <w:start w:val="1"/>
      <w:numFmt w:val="lowerRoman"/>
      <w:lvlText w:val="%9."/>
      <w:lvlJc w:val="left"/>
      <w:pPr>
        <w:ind w:left="3523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